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20E7A" w14:textId="7EA927E5" w:rsidR="007E2C8B" w:rsidRDefault="007E2C8B" w:rsidP="007E2C8B">
      <w:pPr>
        <w:pStyle w:val="3GPPHeader"/>
      </w:pPr>
      <w:bookmarkStart w:id="0" w:name="OLE_LINK37"/>
      <w:r>
        <w:t>3GPP TSG RAN WG1 Meeting #119</w:t>
      </w:r>
      <w:r>
        <w:tab/>
      </w:r>
      <w:bookmarkStart w:id="1" w:name="OLE_LINK83"/>
      <w:bookmarkStart w:id="2" w:name="OLE_LINK98"/>
      <w:r>
        <w:t>R1-241051</w:t>
      </w:r>
      <w:bookmarkEnd w:id="1"/>
      <w:r>
        <w:t>2</w:t>
      </w:r>
      <w:bookmarkEnd w:id="2"/>
    </w:p>
    <w:p w14:paraId="6112322A" w14:textId="77777777" w:rsidR="007E2C8B" w:rsidRDefault="007E2C8B" w:rsidP="007E2C8B">
      <w:pPr>
        <w:pStyle w:val="3GPPHeader"/>
      </w:pPr>
      <w:r>
        <w:t>Orlando, US, November 18th – 22nd, 2024</w:t>
      </w:r>
      <w:bookmarkEnd w:id="0"/>
    </w:p>
    <w:p w14:paraId="1E53C3B9" w14:textId="77777777" w:rsidR="005565B8" w:rsidRDefault="005565B8">
      <w:pPr>
        <w:pStyle w:val="3GPPHeader"/>
      </w:pPr>
    </w:p>
    <w:p w14:paraId="67B30EBC" w14:textId="71211C9E" w:rsidR="004029F2" w:rsidRDefault="000A68B0">
      <w:pPr>
        <w:pStyle w:val="3GPPHeader"/>
      </w:pPr>
      <w:r>
        <w:t>Source:</w:t>
      </w:r>
      <w:r>
        <w:tab/>
        <w:t>MediaTek Inc.</w:t>
      </w:r>
    </w:p>
    <w:p w14:paraId="5B491E4F" w14:textId="77777777" w:rsidR="004029F2" w:rsidRDefault="000A68B0">
      <w:pPr>
        <w:pStyle w:val="3GPPHeader"/>
      </w:pPr>
      <w:r>
        <w:t>Title:</w:t>
      </w:r>
      <w:r>
        <w:tab/>
        <w:t>LP-WUS operation in CONNECTED modes</w:t>
      </w:r>
    </w:p>
    <w:p w14:paraId="1F1C98A3" w14:textId="77777777" w:rsidR="004029F2" w:rsidRDefault="000A68B0">
      <w:pPr>
        <w:pStyle w:val="3GPPHeader"/>
      </w:pPr>
      <w:r>
        <w:t>Agenda item:</w:t>
      </w:r>
      <w:r>
        <w:tab/>
        <w:t>9.6.3</w:t>
      </w:r>
    </w:p>
    <w:p w14:paraId="27187A2F" w14:textId="77777777" w:rsidR="004029F2" w:rsidRDefault="000A68B0">
      <w:pPr>
        <w:pStyle w:val="3GPPHeader"/>
      </w:pPr>
      <w:r>
        <w:t>Document for:</w:t>
      </w:r>
      <w:r>
        <w:tab/>
        <w:t>Discussion</w:t>
      </w:r>
    </w:p>
    <w:p w14:paraId="71143629" w14:textId="77777777" w:rsidR="004029F2" w:rsidRDefault="004029F2"/>
    <w:p w14:paraId="2F6EC1F9" w14:textId="77777777" w:rsidR="004029F2" w:rsidRDefault="000A68B0">
      <w:pPr>
        <w:pStyle w:val="Heading1"/>
      </w:pPr>
      <w:r>
        <w:t>Introduction</w:t>
      </w:r>
    </w:p>
    <w:p w14:paraId="552DE8CC" w14:textId="7F8374B4" w:rsidR="005565B8" w:rsidRDefault="005565B8">
      <w:pPr>
        <w:rPr>
          <w:rFonts w:eastAsia="SimSun"/>
        </w:rPr>
      </w:pPr>
      <w:r w:rsidRPr="005565B8">
        <w:rPr>
          <w:rFonts w:eastAsia="SimSun"/>
        </w:rPr>
        <w:t>In this contribution, we propose supporting UE configuration for either Option 1-1 or Option 1-2 for PDCCH monitoring to accommodate different traffic types. We suggest reusing minimum time gap values from DCI format 2-6 for reporting and using a bitmap to indicate wake-up cells in CA and NR/DC case</w:t>
      </w:r>
      <w:r>
        <w:rPr>
          <w:rFonts w:eastAsia="SimSun"/>
        </w:rPr>
        <w:t>.</w:t>
      </w:r>
    </w:p>
    <w:p w14:paraId="75103BBB" w14:textId="77777777" w:rsidR="00A6266F" w:rsidRPr="00D51437" w:rsidRDefault="00A6266F">
      <w:pPr>
        <w:rPr>
          <w:rFonts w:eastAsia="SimSun"/>
        </w:rPr>
      </w:pPr>
    </w:p>
    <w:p w14:paraId="13E4E00D" w14:textId="15EF60EA" w:rsidR="004029F2" w:rsidRDefault="00D51437">
      <w:pPr>
        <w:pStyle w:val="Heading1"/>
      </w:pPr>
      <w:bookmarkStart w:id="3" w:name="OLE_LINK4"/>
      <w:r w:rsidRPr="00D51437">
        <w:t>Support Both LP-WUS Options</w:t>
      </w:r>
    </w:p>
    <w:tbl>
      <w:tblPr>
        <w:tblStyle w:val="TableGrid"/>
        <w:tblW w:w="0" w:type="auto"/>
        <w:tblLook w:val="04A0" w:firstRow="1" w:lastRow="0" w:firstColumn="1" w:lastColumn="0" w:noHBand="0" w:noVBand="1"/>
      </w:tblPr>
      <w:tblGrid>
        <w:gridCol w:w="8630"/>
      </w:tblGrid>
      <w:tr w:rsidR="00D51437" w14:paraId="58E309FA" w14:textId="77777777" w:rsidTr="00D51437">
        <w:tc>
          <w:tcPr>
            <w:tcW w:w="8630" w:type="dxa"/>
          </w:tcPr>
          <w:p w14:paraId="568E3837" w14:textId="77777777" w:rsidR="00D74167" w:rsidRPr="00D74167" w:rsidRDefault="00D74167" w:rsidP="00D74167">
            <w:pPr>
              <w:rPr>
                <w:rFonts w:eastAsia="SimSun"/>
                <w:b/>
                <w:bCs/>
              </w:rPr>
            </w:pPr>
            <w:r w:rsidRPr="00D74167">
              <w:rPr>
                <w:rFonts w:eastAsia="SimSun"/>
                <w:b/>
                <w:bCs/>
                <w:highlight w:val="green"/>
              </w:rPr>
              <w:t>Agreement</w:t>
            </w:r>
          </w:p>
          <w:p w14:paraId="3A14005C" w14:textId="130B431F" w:rsidR="00D74167" w:rsidRPr="00D74167" w:rsidRDefault="00D74167" w:rsidP="00D74167">
            <w:pPr>
              <w:rPr>
                <w:rFonts w:eastAsia="SimSun"/>
                <w:highlight w:val="red"/>
              </w:rPr>
            </w:pPr>
            <w:r w:rsidRPr="00D74167">
              <w:rPr>
                <w:rFonts w:eastAsia="SimSun"/>
              </w:rPr>
              <w:t>Confirm following working assumption</w:t>
            </w:r>
            <w:r>
              <w:rPr>
                <w:rFonts w:eastAsia="SimSun"/>
              </w:rPr>
              <w:t>.</w:t>
            </w:r>
          </w:p>
          <w:p w14:paraId="7AD3B65E" w14:textId="61A961A6" w:rsidR="00D51437" w:rsidRPr="00D51437" w:rsidRDefault="00D51437" w:rsidP="00D51437">
            <w:pPr>
              <w:rPr>
                <w:rFonts w:eastAsia="SimSun"/>
              </w:rPr>
            </w:pPr>
            <w:r w:rsidRPr="00D51437">
              <w:rPr>
                <w:rFonts w:eastAsia="SimSun"/>
                <w:b/>
                <w:bCs/>
                <w:highlight w:val="red"/>
              </w:rPr>
              <w:t>Working Assumption</w:t>
            </w:r>
          </w:p>
          <w:p w14:paraId="270827C4" w14:textId="77777777" w:rsidR="00D51437" w:rsidRPr="00D51437" w:rsidRDefault="00D51437" w:rsidP="00D51437">
            <w:pPr>
              <w:rPr>
                <w:rFonts w:eastAsia="SimSun"/>
              </w:rPr>
            </w:pPr>
            <w:r w:rsidRPr="00D51437">
              <w:rPr>
                <w:rFonts w:eastAsia="SimSun"/>
              </w:rPr>
              <w:t xml:space="preserve">From RAN1 perspective, </w:t>
            </w:r>
            <w:r w:rsidRPr="00D51437">
              <w:rPr>
                <w:rFonts w:eastAsia="SimSun"/>
                <w:lang w:val="en-GB"/>
              </w:rPr>
              <w:t xml:space="preserve">for RRC CONNECTED mode, PDCCH monitoring is triggered by LP-WUS with C-DRX </w:t>
            </w:r>
            <w:proofErr w:type="gramStart"/>
            <w:r w:rsidRPr="00D51437">
              <w:rPr>
                <w:rFonts w:eastAsia="SimSun"/>
                <w:lang w:val="en-GB"/>
              </w:rPr>
              <w:t>configuration</w:t>
            </w:r>
            <w:proofErr w:type="gramEnd"/>
          </w:p>
          <w:p w14:paraId="7EEA482A" w14:textId="77777777" w:rsidR="00D51437" w:rsidRPr="00D51437" w:rsidRDefault="00D51437" w:rsidP="00D51437">
            <w:pPr>
              <w:numPr>
                <w:ilvl w:val="0"/>
                <w:numId w:val="13"/>
              </w:numPr>
              <w:spacing w:after="0"/>
              <w:rPr>
                <w:rFonts w:eastAsia="SimSun"/>
                <w:lang w:val="en-GB"/>
              </w:rPr>
            </w:pPr>
            <w:r w:rsidRPr="00D51437">
              <w:rPr>
                <w:rFonts w:eastAsia="SimSun"/>
                <w:lang w:val="en-GB"/>
              </w:rPr>
              <w:t>Support Option 1-1: LP-WUS monitoring according to the LP-WUS monitoring configuration before drx-onDurationTimer to trigger the starting of the drx-onDurationTimer.</w:t>
            </w:r>
          </w:p>
          <w:p w14:paraId="7CDF7BC6" w14:textId="77777777" w:rsidR="00D51437" w:rsidRPr="00D51437" w:rsidRDefault="00D51437" w:rsidP="00D51437">
            <w:pPr>
              <w:numPr>
                <w:ilvl w:val="0"/>
                <w:numId w:val="13"/>
              </w:numPr>
              <w:spacing w:after="0"/>
              <w:rPr>
                <w:rFonts w:eastAsia="SimSun"/>
                <w:lang w:val="en-GB"/>
              </w:rPr>
            </w:pPr>
            <w:r w:rsidRPr="00D51437">
              <w:rPr>
                <w:rFonts w:eastAsia="SimSun"/>
                <w:lang w:val="en-GB"/>
              </w:rPr>
              <w:t>Support Option 1-2: LP-WUS monitoring outside at least legacy C-DRX active time according to the LP-WUS monitoring configuration to trigger PDCCH monitoring.</w:t>
            </w:r>
          </w:p>
          <w:p w14:paraId="249C5956" w14:textId="77777777" w:rsidR="00D51437" w:rsidRPr="00D51437" w:rsidRDefault="00D51437" w:rsidP="00D51437">
            <w:pPr>
              <w:numPr>
                <w:ilvl w:val="0"/>
                <w:numId w:val="13"/>
              </w:numPr>
              <w:rPr>
                <w:rFonts w:eastAsia="SimSun"/>
                <w:lang w:val="en-GB"/>
              </w:rPr>
            </w:pPr>
            <w:r w:rsidRPr="00D51437">
              <w:rPr>
                <w:rFonts w:eastAsia="SimSun"/>
                <w:lang w:val="en-GB"/>
              </w:rPr>
              <w:t xml:space="preserve">FFS whether/how to support both Option 1-1 and Option 1-2 simultaneously configured for the same </w:t>
            </w:r>
            <w:proofErr w:type="gramStart"/>
            <w:r w:rsidRPr="00D51437">
              <w:rPr>
                <w:rFonts w:eastAsia="SimSun"/>
                <w:lang w:val="en-GB"/>
              </w:rPr>
              <w:t>UE</w:t>
            </w:r>
            <w:proofErr w:type="gramEnd"/>
          </w:p>
          <w:p w14:paraId="6669DDE6" w14:textId="77777777" w:rsidR="00D51437" w:rsidRDefault="00D51437" w:rsidP="00D51437">
            <w:pPr>
              <w:rPr>
                <w:rFonts w:eastAsia="SimSun"/>
                <w:lang w:val="en-GB"/>
              </w:rPr>
            </w:pPr>
            <w:r w:rsidRPr="00D51437">
              <w:rPr>
                <w:rFonts w:eastAsia="SimSun"/>
                <w:lang w:val="en-GB"/>
              </w:rPr>
              <w:t>Note: Above can be revisited considering RAN2 decisions.</w:t>
            </w:r>
          </w:p>
          <w:p w14:paraId="56B4110A" w14:textId="77777777" w:rsidR="00D74167" w:rsidRPr="00D74167" w:rsidRDefault="00D74167" w:rsidP="00D74167">
            <w:pPr>
              <w:rPr>
                <w:rFonts w:eastAsia="SimSun"/>
                <w:lang w:val="en-GB"/>
              </w:rPr>
            </w:pPr>
            <w:r w:rsidRPr="00D74167">
              <w:rPr>
                <w:rFonts w:eastAsia="SimSun"/>
                <w:b/>
                <w:bCs/>
                <w:highlight w:val="green"/>
                <w:lang w:val="en-GB"/>
              </w:rPr>
              <w:t>Agreement</w:t>
            </w:r>
          </w:p>
          <w:p w14:paraId="54FE820D" w14:textId="77777777" w:rsidR="00D74167" w:rsidRPr="00D74167" w:rsidRDefault="00D74167" w:rsidP="00D74167">
            <w:pPr>
              <w:numPr>
                <w:ilvl w:val="0"/>
                <w:numId w:val="27"/>
              </w:numPr>
              <w:rPr>
                <w:rFonts w:eastAsia="SimSun"/>
                <w:lang w:val="en-GB"/>
              </w:rPr>
            </w:pPr>
            <w:r w:rsidRPr="00D74167">
              <w:rPr>
                <w:rFonts w:eastAsia="SimSun"/>
                <w:lang w:val="en-GB"/>
              </w:rPr>
              <w:t>For LP-WUS CONNECTED mode operation, Option 1-2 can be configured separately from Option 1-1</w:t>
            </w:r>
          </w:p>
          <w:p w14:paraId="37B293F6" w14:textId="77DE227F" w:rsidR="00D74167" w:rsidRPr="00D74167" w:rsidRDefault="00D74167" w:rsidP="00D74167">
            <w:pPr>
              <w:numPr>
                <w:ilvl w:val="1"/>
                <w:numId w:val="27"/>
              </w:numPr>
              <w:rPr>
                <w:rFonts w:eastAsia="SimSun" w:hint="eastAsia"/>
                <w:lang w:val="en-GB"/>
              </w:rPr>
            </w:pPr>
            <w:r w:rsidRPr="00D74167">
              <w:rPr>
                <w:rFonts w:eastAsia="SimSun"/>
                <w:lang w:val="en-GB"/>
              </w:rPr>
              <w:t>FFS whether/how to support both Option 1-1 and Option 1-2 simultaneously configured for the same UE</w:t>
            </w:r>
          </w:p>
        </w:tc>
      </w:tr>
    </w:tbl>
    <w:p w14:paraId="6B467F7D" w14:textId="62DB0BF0" w:rsidR="00D74167" w:rsidRDefault="00D74167" w:rsidP="00D74167">
      <w:pPr>
        <w:spacing w:beforeLines="50" w:before="120"/>
      </w:pPr>
      <w:r>
        <w:t xml:space="preserve">In R1#118b, companies have agreed support both Option 1-1 and Option 1-2. One remining issue is whether both options can be configured simultaneously for the same UE. </w:t>
      </w:r>
    </w:p>
    <w:p w14:paraId="31E90606" w14:textId="51AB15B2" w:rsidR="00D74167" w:rsidRDefault="00D74167" w:rsidP="00D74167">
      <w:pPr>
        <w:spacing w:beforeLines="50" w:before="120"/>
      </w:pPr>
      <w:r w:rsidRPr="00D74167">
        <w:t>Option 1-1 is suitable for predictable, periodic traffic like VoIP, while Option 1-2 is designed for unpredictable or misaligned periodic traffic such as XR.</w:t>
      </w:r>
      <w:r>
        <w:t xml:space="preserve"> There is no need to be configured both simultaneously, regarding UE may not run different traffic at the same time and need power saving.</w:t>
      </w:r>
    </w:p>
    <w:p w14:paraId="2B9D8407" w14:textId="7A0E7F15" w:rsidR="00186BFE" w:rsidRPr="00186BFE" w:rsidRDefault="00186BFE" w:rsidP="00186BFE">
      <w:pPr>
        <w:spacing w:beforeLines="50" w:before="120"/>
        <w:ind w:left="1440" w:hanging="1440"/>
        <w:rPr>
          <w:rFonts w:eastAsia="SimSun"/>
          <w:b/>
          <w:bCs/>
        </w:rPr>
      </w:pPr>
      <w:bookmarkStart w:id="4" w:name="OLE_LINK7"/>
      <w:bookmarkStart w:id="5" w:name="OLE_LINK96"/>
      <w:r w:rsidRPr="00186BFE">
        <w:rPr>
          <w:rFonts w:eastAsia="SimSun" w:hint="eastAsia"/>
          <w:b/>
          <w:bCs/>
        </w:rPr>
        <w:t>O</w:t>
      </w:r>
      <w:r w:rsidRPr="00186BFE">
        <w:rPr>
          <w:rFonts w:eastAsia="SimSun"/>
          <w:b/>
          <w:bCs/>
        </w:rPr>
        <w:t xml:space="preserve">bservation 1: </w:t>
      </w:r>
      <w:r w:rsidRPr="00186BFE">
        <w:rPr>
          <w:rFonts w:eastAsia="SimSun"/>
          <w:b/>
          <w:bCs/>
        </w:rPr>
        <w:tab/>
        <w:t>Option 1-1 is suitable for predictable, periodic traffic like VoIP, while Option 1-2 is designed for unpredictable or misaligned periodic traffic such as XR.</w:t>
      </w:r>
    </w:p>
    <w:p w14:paraId="46FF8608" w14:textId="413AA3E3" w:rsidR="00D51437" w:rsidRDefault="000A68B0">
      <w:pPr>
        <w:ind w:left="1440" w:hanging="1440"/>
        <w:rPr>
          <w:b/>
        </w:rPr>
      </w:pPr>
      <w:bookmarkStart w:id="6" w:name="OLE_LINK1"/>
      <w:r>
        <w:rPr>
          <w:b/>
        </w:rPr>
        <w:lastRenderedPageBreak/>
        <w:t>Proposal 1:</w:t>
      </w:r>
      <w:r>
        <w:rPr>
          <w:b/>
        </w:rPr>
        <w:tab/>
      </w:r>
      <w:r w:rsidR="00D51437" w:rsidRPr="00D51437">
        <w:rPr>
          <w:b/>
        </w:rPr>
        <w:t>Support</w:t>
      </w:r>
      <w:r w:rsidR="00D74167">
        <w:rPr>
          <w:b/>
        </w:rPr>
        <w:t xml:space="preserve"> UE can be only configured either </w:t>
      </w:r>
      <w:r w:rsidR="00D51437" w:rsidRPr="00D51437">
        <w:rPr>
          <w:b/>
        </w:rPr>
        <w:t>Option 1-1</w:t>
      </w:r>
      <w:r w:rsidR="00D74167">
        <w:rPr>
          <w:b/>
        </w:rPr>
        <w:t>or</w:t>
      </w:r>
      <w:r w:rsidR="00D51437" w:rsidRPr="00D51437">
        <w:rPr>
          <w:b/>
        </w:rPr>
        <w:t xml:space="preserve"> Option 1-2 for PDCCH monitoring in RRC CONNECTED mode to accommodate different traffic types.</w:t>
      </w:r>
    </w:p>
    <w:bookmarkEnd w:id="5"/>
    <w:p w14:paraId="727E8BA4" w14:textId="77777777" w:rsidR="00D74167" w:rsidRDefault="00D74167">
      <w:pPr>
        <w:ind w:left="1440" w:hanging="1440"/>
        <w:rPr>
          <w:b/>
        </w:rPr>
      </w:pPr>
    </w:p>
    <w:p w14:paraId="4C348D43" w14:textId="45C21F69" w:rsidR="004029F2" w:rsidRDefault="00D51437">
      <w:pPr>
        <w:pStyle w:val="Heading1"/>
      </w:pPr>
      <w:bookmarkStart w:id="7" w:name="OLE_LINK5"/>
      <w:bookmarkEnd w:id="3"/>
      <w:bookmarkEnd w:id="4"/>
      <w:bookmarkEnd w:id="6"/>
      <w:r>
        <w:t>Minimum Time Gap Report</w:t>
      </w:r>
    </w:p>
    <w:tbl>
      <w:tblPr>
        <w:tblStyle w:val="TableGrid"/>
        <w:tblW w:w="0" w:type="auto"/>
        <w:tblLook w:val="04A0" w:firstRow="1" w:lastRow="0" w:firstColumn="1" w:lastColumn="0" w:noHBand="0" w:noVBand="1"/>
      </w:tblPr>
      <w:tblGrid>
        <w:gridCol w:w="8630"/>
      </w:tblGrid>
      <w:tr w:rsidR="00D51437" w14:paraId="3E5D990C" w14:textId="77777777" w:rsidTr="00D51437">
        <w:tc>
          <w:tcPr>
            <w:tcW w:w="8630" w:type="dxa"/>
          </w:tcPr>
          <w:p w14:paraId="4D7EE86D" w14:textId="77777777" w:rsidR="00D74167" w:rsidRPr="00D74167" w:rsidRDefault="00D74167" w:rsidP="00D74167">
            <w:pPr>
              <w:rPr>
                <w:b/>
                <w:bCs/>
                <w:lang w:val="en-GB"/>
              </w:rPr>
            </w:pPr>
            <w:r w:rsidRPr="00D74167">
              <w:rPr>
                <w:b/>
                <w:bCs/>
                <w:highlight w:val="green"/>
                <w:lang w:val="en-GB"/>
              </w:rPr>
              <w:t>Agreement</w:t>
            </w:r>
          </w:p>
          <w:p w14:paraId="18A78A19" w14:textId="77777777" w:rsidR="00D74167" w:rsidRPr="00D74167" w:rsidRDefault="00D74167" w:rsidP="00D74167">
            <w:pPr>
              <w:rPr>
                <w:lang w:val="en-GB"/>
              </w:rPr>
            </w:pPr>
            <w:r w:rsidRPr="00D74167">
              <w:rPr>
                <w:lang w:val="en-GB"/>
              </w:rPr>
              <w:t>For RRC CONNECTED mode, UE reports one value for each SCS from X candidate values for the determination of the minimum time gap between LP-WUS reception and MR to start PDCCH monitoring via UE capability reporting.</w:t>
            </w:r>
          </w:p>
          <w:p w14:paraId="6E699528" w14:textId="294FF1AB" w:rsidR="00D74167" w:rsidRPr="00D74167" w:rsidRDefault="00D74167" w:rsidP="00D74167">
            <w:pPr>
              <w:pStyle w:val="ListParagraph"/>
              <w:numPr>
                <w:ilvl w:val="0"/>
                <w:numId w:val="24"/>
              </w:numPr>
              <w:rPr>
                <w:lang w:val="en-GB"/>
              </w:rPr>
            </w:pPr>
            <w:r w:rsidRPr="00D74167">
              <w:rPr>
                <w:lang w:val="en-GB"/>
              </w:rPr>
              <w:t>FFS: X</w:t>
            </w:r>
          </w:p>
          <w:p w14:paraId="638C0296" w14:textId="4C0540CA" w:rsidR="00D74167" w:rsidRPr="00D74167" w:rsidRDefault="00D74167" w:rsidP="00D74167">
            <w:pPr>
              <w:pStyle w:val="ListParagraph"/>
              <w:numPr>
                <w:ilvl w:val="0"/>
                <w:numId w:val="24"/>
              </w:numPr>
              <w:rPr>
                <w:lang w:val="en-GB"/>
              </w:rPr>
            </w:pPr>
            <w:r w:rsidRPr="00D74167">
              <w:rPr>
                <w:lang w:val="en-GB"/>
              </w:rPr>
              <w:t>FFS: definition of reported candidate value</w:t>
            </w:r>
          </w:p>
          <w:p w14:paraId="0D4C136E" w14:textId="4C8A07BB" w:rsidR="00D74167" w:rsidRPr="00D74167" w:rsidRDefault="00D74167" w:rsidP="00D74167">
            <w:pPr>
              <w:pStyle w:val="ListParagraph"/>
              <w:numPr>
                <w:ilvl w:val="0"/>
                <w:numId w:val="24"/>
              </w:numPr>
              <w:rPr>
                <w:lang w:val="en-GB"/>
              </w:rPr>
            </w:pPr>
            <w:r w:rsidRPr="00D74167">
              <w:rPr>
                <w:lang w:val="en-GB"/>
              </w:rPr>
              <w:t>UE can indicate its preference for configured time offset between LP-WUS and PDCCH reception using UAI mechanism. FFS details. UAI is optional.</w:t>
            </w:r>
          </w:p>
          <w:p w14:paraId="15281941" w14:textId="3A921BC2" w:rsidR="00D51437" w:rsidRPr="00D51437" w:rsidRDefault="00D74167" w:rsidP="00D74167">
            <w:pPr>
              <w:numPr>
                <w:ilvl w:val="1"/>
                <w:numId w:val="24"/>
              </w:numPr>
              <w:rPr>
                <w:lang w:val="en-GB"/>
              </w:rPr>
            </w:pPr>
            <w:r w:rsidRPr="00D74167">
              <w:rPr>
                <w:lang w:val="en-GB"/>
              </w:rPr>
              <w:t>FFS: A single time offset is configured for a UE at a given time</w:t>
            </w:r>
          </w:p>
        </w:tc>
      </w:tr>
    </w:tbl>
    <w:p w14:paraId="1B8A20AC" w14:textId="481BFD43" w:rsidR="00D51437" w:rsidRDefault="00D51437" w:rsidP="00D74167">
      <w:pPr>
        <w:spacing w:beforeLines="50" w:before="120"/>
      </w:pPr>
      <w:r w:rsidRPr="00D51437">
        <w:t xml:space="preserve">In RAN1#118bis, </w:t>
      </w:r>
      <w:r w:rsidR="00D74167">
        <w:t xml:space="preserve">companies agreed </w:t>
      </w:r>
      <w:r w:rsidRPr="00D51437">
        <w:t>UE reports one value per SCS.</w:t>
      </w:r>
      <w:r w:rsidR="00D74167">
        <w:t xml:space="preserve"> </w:t>
      </w:r>
      <w:r w:rsidRPr="00D51437">
        <w:t>Reporting one value per SCS simplifies the process, reduces complexity, and minimizes reporting overhead.</w:t>
      </w:r>
      <w:r>
        <w:t xml:space="preserve"> For simplicity, we recommend reusing the same values from R16 DCI format 2-6</w:t>
      </w:r>
      <w:r w:rsidR="00D74167">
        <w:t xml:space="preserve"> as the starting point</w:t>
      </w:r>
      <w:r>
        <w:t>.</w:t>
      </w:r>
    </w:p>
    <w:p w14:paraId="4F1E1103" w14:textId="6672A69B" w:rsidR="00186BFE" w:rsidRPr="00186BFE" w:rsidRDefault="00186BFE" w:rsidP="00186BFE">
      <w:pPr>
        <w:ind w:left="1440" w:hanging="1440"/>
        <w:rPr>
          <w:rFonts w:eastAsia="SimSun"/>
          <w:b/>
          <w:bCs/>
        </w:rPr>
      </w:pPr>
      <w:bookmarkStart w:id="8" w:name="OLE_LINK8"/>
      <w:r w:rsidRPr="00186BFE">
        <w:rPr>
          <w:rFonts w:eastAsia="SimSun" w:hint="eastAsia"/>
          <w:b/>
          <w:bCs/>
        </w:rPr>
        <w:t>O</w:t>
      </w:r>
      <w:r w:rsidRPr="00186BFE">
        <w:rPr>
          <w:rFonts w:eastAsia="SimSun"/>
          <w:b/>
          <w:bCs/>
        </w:rPr>
        <w:t xml:space="preserve">bservation 2: </w:t>
      </w:r>
      <w:r w:rsidRPr="00186BFE">
        <w:rPr>
          <w:rFonts w:eastAsia="SimSun"/>
          <w:b/>
          <w:bCs/>
        </w:rPr>
        <w:tab/>
        <w:t>Reporting one value per SCS</w:t>
      </w:r>
      <w:r w:rsidR="00D74167">
        <w:rPr>
          <w:rFonts w:eastAsia="SimSun"/>
          <w:b/>
          <w:bCs/>
        </w:rPr>
        <w:t xml:space="preserve"> is the same as the design of R16 DCI format 2-6</w:t>
      </w:r>
      <w:r w:rsidRPr="00186BFE">
        <w:rPr>
          <w:rFonts w:eastAsia="SimSun"/>
          <w:b/>
          <w:bCs/>
        </w:rPr>
        <w:t>.</w:t>
      </w:r>
    </w:p>
    <w:p w14:paraId="2DCC83BE" w14:textId="576E6571" w:rsidR="00D51437" w:rsidRPr="00D51437" w:rsidRDefault="00D51437" w:rsidP="00D51437">
      <w:pPr>
        <w:ind w:left="1440" w:hanging="1440"/>
        <w:rPr>
          <w:rFonts w:eastAsia="SimSun"/>
        </w:rPr>
      </w:pPr>
      <w:bookmarkStart w:id="9" w:name="OLE_LINK2"/>
      <w:r w:rsidRPr="00D51437">
        <w:rPr>
          <w:b/>
          <w:bCs/>
        </w:rPr>
        <w:t xml:space="preserve">Proposal 2: </w:t>
      </w:r>
      <w:r>
        <w:rPr>
          <w:b/>
          <w:bCs/>
        </w:rPr>
        <w:tab/>
      </w:r>
      <w:r w:rsidR="00186BFE" w:rsidRPr="00186BFE">
        <w:rPr>
          <w:b/>
          <w:bCs/>
        </w:rPr>
        <w:t>For the reporting value, consider reusing the minimum time gap values of DCI format 2-6 from 38.213 Table 10.3-1.</w:t>
      </w:r>
    </w:p>
    <w:bookmarkEnd w:id="7"/>
    <w:bookmarkEnd w:id="8"/>
    <w:bookmarkEnd w:id="9"/>
    <w:p w14:paraId="10095526" w14:textId="59444891" w:rsidR="00D51437" w:rsidRPr="00D51437" w:rsidRDefault="00D51437" w:rsidP="00D51437">
      <w:pPr>
        <w:jc w:val="center"/>
        <w:rPr>
          <w:rFonts w:eastAsia="SimSun"/>
        </w:rPr>
      </w:pPr>
      <w:r w:rsidRPr="00D51437">
        <w:rPr>
          <w:noProof/>
        </w:rPr>
        <w:drawing>
          <wp:inline distT="0" distB="0" distL="0" distR="0" wp14:anchorId="58DCE863" wp14:editId="4DD212B4">
            <wp:extent cx="2218414" cy="13436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3100" cy="1346518"/>
                    </a:xfrm>
                    <a:prstGeom prst="rect">
                      <a:avLst/>
                    </a:prstGeom>
                    <a:noFill/>
                    <a:ln>
                      <a:noFill/>
                    </a:ln>
                  </pic:spPr>
                </pic:pic>
              </a:graphicData>
            </a:graphic>
          </wp:inline>
        </w:drawing>
      </w:r>
    </w:p>
    <w:p w14:paraId="0F62B7A9" w14:textId="703CB949" w:rsidR="004029F2" w:rsidRDefault="00D51437">
      <w:pPr>
        <w:pStyle w:val="Heading1"/>
      </w:pPr>
      <w:bookmarkStart w:id="10" w:name="OLE_LINK6"/>
      <w:r>
        <w:t xml:space="preserve">LP-WUS </w:t>
      </w:r>
      <w:r w:rsidR="00D74167">
        <w:t>for</w:t>
      </w:r>
      <w:r>
        <w:t xml:space="preserve"> </w:t>
      </w:r>
      <w:r w:rsidR="00D74167">
        <w:t>CA/DC</w:t>
      </w:r>
    </w:p>
    <w:tbl>
      <w:tblPr>
        <w:tblStyle w:val="TableGrid"/>
        <w:tblW w:w="0" w:type="auto"/>
        <w:tblLook w:val="04A0" w:firstRow="1" w:lastRow="0" w:firstColumn="1" w:lastColumn="0" w:noHBand="0" w:noVBand="1"/>
      </w:tblPr>
      <w:tblGrid>
        <w:gridCol w:w="8630"/>
      </w:tblGrid>
      <w:tr w:rsidR="00D51437" w14:paraId="21DB2348" w14:textId="77777777" w:rsidTr="00D51437">
        <w:tc>
          <w:tcPr>
            <w:tcW w:w="8630" w:type="dxa"/>
          </w:tcPr>
          <w:p w14:paraId="76D4DABF" w14:textId="77777777" w:rsidR="00D74167" w:rsidRPr="00D74167" w:rsidRDefault="00D74167" w:rsidP="00D74167">
            <w:pPr>
              <w:rPr>
                <w:rFonts w:eastAsia="SimSun"/>
                <w:b/>
                <w:bCs/>
                <w:lang w:val="en-GB"/>
              </w:rPr>
            </w:pPr>
            <w:r w:rsidRPr="00D74167">
              <w:rPr>
                <w:rFonts w:eastAsia="SimSun"/>
                <w:b/>
                <w:bCs/>
                <w:highlight w:val="green"/>
                <w:lang w:val="en-GB"/>
              </w:rPr>
              <w:t>Agreement</w:t>
            </w:r>
          </w:p>
          <w:p w14:paraId="49C7E0F6" w14:textId="77777777" w:rsidR="00D74167" w:rsidRPr="00D74167" w:rsidRDefault="00D74167" w:rsidP="00D74167">
            <w:pPr>
              <w:ind w:left="283" w:hanging="283"/>
              <w:rPr>
                <w:lang w:val="en-GB"/>
              </w:rPr>
            </w:pPr>
            <w:r w:rsidRPr="00D74167">
              <w:rPr>
                <w:lang w:val="en-GB"/>
              </w:rPr>
              <w:t xml:space="preserve">LP-WUS is supported when UE is configured with NR-DC in RRC CONNECTED </w:t>
            </w:r>
            <w:proofErr w:type="gramStart"/>
            <w:r w:rsidRPr="00D74167">
              <w:rPr>
                <w:lang w:val="en-GB"/>
              </w:rPr>
              <w:t>mode</w:t>
            </w:r>
            <w:proofErr w:type="gramEnd"/>
          </w:p>
          <w:p w14:paraId="140E1B55" w14:textId="3E0B70BD" w:rsidR="00D74167" w:rsidRPr="00D74167" w:rsidRDefault="00D74167" w:rsidP="00D74167">
            <w:pPr>
              <w:pStyle w:val="ListParagraph"/>
              <w:numPr>
                <w:ilvl w:val="0"/>
                <w:numId w:val="28"/>
              </w:numPr>
              <w:rPr>
                <w:lang w:val="en-GB"/>
              </w:rPr>
            </w:pPr>
            <w:r w:rsidRPr="00D74167">
              <w:rPr>
                <w:lang w:val="en-GB"/>
              </w:rPr>
              <w:t xml:space="preserve">Above is supported for the case PDCCH monitoring is triggered by LP-WUS in the same cell </w:t>
            </w:r>
            <w:proofErr w:type="gramStart"/>
            <w:r w:rsidRPr="00D74167">
              <w:rPr>
                <w:lang w:val="en-GB"/>
              </w:rPr>
              <w:t>group</w:t>
            </w:r>
            <w:proofErr w:type="gramEnd"/>
          </w:p>
          <w:p w14:paraId="1CA93175" w14:textId="7C3B36CF" w:rsidR="00D51437" w:rsidRPr="00D51437" w:rsidRDefault="00D74167" w:rsidP="00D74167">
            <w:pPr>
              <w:numPr>
                <w:ilvl w:val="0"/>
                <w:numId w:val="28"/>
              </w:numPr>
              <w:rPr>
                <w:rFonts w:eastAsia="SimSun"/>
                <w:lang w:val="en-GB"/>
              </w:rPr>
            </w:pPr>
            <w:r w:rsidRPr="00D74167">
              <w:rPr>
                <w:rFonts w:eastAsia="SimSun"/>
                <w:lang w:val="en-GB"/>
              </w:rPr>
              <w:t>FFS: The cell(s) where PDCCH monitoring triggered by a LP-WUS is applicable</w:t>
            </w:r>
          </w:p>
        </w:tc>
      </w:tr>
    </w:tbl>
    <w:p w14:paraId="2FEEB802" w14:textId="05A1771B" w:rsidR="00D74167" w:rsidRDefault="00D74167" w:rsidP="00D51437">
      <w:pPr>
        <w:spacing w:beforeLines="50" w:before="120"/>
        <w:rPr>
          <w:rFonts w:eastAsia="SimSun"/>
        </w:rPr>
      </w:pPr>
      <w:r>
        <w:rPr>
          <w:rFonts w:eastAsia="SimSun"/>
        </w:rPr>
        <w:t>In R1#118 and 118b, companies agreed to support the CA and NR/DC cases. From power saving perspective, i</w:t>
      </w:r>
      <w:r w:rsidR="00D51437" w:rsidRPr="00D51437">
        <w:rPr>
          <w:rFonts w:eastAsia="SimSun"/>
        </w:rPr>
        <w:t xml:space="preserve">t is beneficial to support LP-WUS to wake up only part of the carriers to save power. </w:t>
      </w:r>
    </w:p>
    <w:p w14:paraId="6532AFBB" w14:textId="4983CB76" w:rsidR="00D51437" w:rsidRDefault="00D74167" w:rsidP="00D51437">
      <w:pPr>
        <w:spacing w:beforeLines="50" w:before="120"/>
        <w:rPr>
          <w:rFonts w:eastAsia="SimSun"/>
        </w:rPr>
      </w:pPr>
      <w:r>
        <w:rPr>
          <w:rFonts w:eastAsia="SimSun"/>
        </w:rPr>
        <w:t>U</w:t>
      </w:r>
      <w:r w:rsidR="00D51437" w:rsidRPr="00D51437">
        <w:rPr>
          <w:rFonts w:eastAsia="SimSun"/>
        </w:rPr>
        <w:t xml:space="preserve">sing a bitmap to indicate </w:t>
      </w:r>
      <w:r>
        <w:rPr>
          <w:rFonts w:eastAsia="SimSun"/>
        </w:rPr>
        <w:t xml:space="preserve">a group of </w:t>
      </w:r>
      <w:r w:rsidR="00D51437" w:rsidRPr="00D51437">
        <w:rPr>
          <w:rFonts w:eastAsia="SimSun"/>
        </w:rPr>
        <w:t xml:space="preserve">carriers allows for flexible data scheduling and power-saving opportunities. UEs </w:t>
      </w:r>
      <w:r>
        <w:rPr>
          <w:rFonts w:eastAsia="SimSun"/>
        </w:rPr>
        <w:t xml:space="preserve">may </w:t>
      </w:r>
      <w:r w:rsidR="00D51437" w:rsidRPr="00D51437">
        <w:rPr>
          <w:rFonts w:eastAsia="SimSun"/>
        </w:rPr>
        <w:t xml:space="preserve">turn </w:t>
      </w:r>
      <w:r>
        <w:rPr>
          <w:rFonts w:eastAsia="SimSun"/>
        </w:rPr>
        <w:t xml:space="preserve">part of </w:t>
      </w:r>
      <w:r w:rsidR="00D51437" w:rsidRPr="00D51437">
        <w:rPr>
          <w:rFonts w:eastAsia="SimSun"/>
        </w:rPr>
        <w:t>RF components</w:t>
      </w:r>
      <w:r>
        <w:rPr>
          <w:rFonts w:eastAsia="SimSun"/>
        </w:rPr>
        <w:t xml:space="preserve"> off by benefiting the bitmap indication</w:t>
      </w:r>
      <w:r w:rsidR="00D51437" w:rsidRPr="00D51437">
        <w:rPr>
          <w:rFonts w:eastAsia="SimSun"/>
        </w:rPr>
        <w:t>.</w:t>
      </w:r>
    </w:p>
    <w:p w14:paraId="5974D88A" w14:textId="732466D9" w:rsidR="00186BFE" w:rsidRPr="00D51437" w:rsidRDefault="00186BFE" w:rsidP="00186BFE">
      <w:pPr>
        <w:spacing w:beforeLines="50" w:before="120"/>
        <w:ind w:left="1440" w:hanging="1440"/>
        <w:rPr>
          <w:rFonts w:eastAsia="SimSun"/>
        </w:rPr>
      </w:pPr>
      <w:bookmarkStart w:id="11" w:name="OLE_LINK9"/>
      <w:bookmarkStart w:id="12" w:name="OLE_LINK97"/>
      <w:r w:rsidRPr="00186BFE">
        <w:rPr>
          <w:rFonts w:eastAsia="SimSun"/>
          <w:b/>
          <w:bCs/>
        </w:rPr>
        <w:t xml:space="preserve">Observation 3: </w:t>
      </w:r>
      <w:r w:rsidRPr="00186BFE">
        <w:rPr>
          <w:rFonts w:eastAsia="SimSun"/>
          <w:b/>
          <w:bCs/>
        </w:rPr>
        <w:tab/>
      </w:r>
      <w:r w:rsidR="00D74167">
        <w:rPr>
          <w:rFonts w:eastAsia="SimSun"/>
          <w:b/>
          <w:bCs/>
        </w:rPr>
        <w:t xml:space="preserve">Support of CA and NR/DC can provide power saving benefits for UE to turn </w:t>
      </w:r>
      <w:r w:rsidRPr="00186BFE">
        <w:rPr>
          <w:rFonts w:eastAsia="SimSun"/>
          <w:b/>
          <w:bCs/>
        </w:rPr>
        <w:t xml:space="preserve">part of </w:t>
      </w:r>
      <w:r w:rsidR="00D74167">
        <w:rPr>
          <w:rFonts w:eastAsia="SimSun"/>
          <w:b/>
          <w:bCs/>
        </w:rPr>
        <w:t>RF components off</w:t>
      </w:r>
      <w:r w:rsidRPr="00186BFE">
        <w:rPr>
          <w:rFonts w:eastAsia="SimSun"/>
        </w:rPr>
        <w:t>.</w:t>
      </w:r>
    </w:p>
    <w:p w14:paraId="1E3C7A21" w14:textId="3DF54694" w:rsidR="004029F2" w:rsidRDefault="000A68B0">
      <w:pPr>
        <w:ind w:left="1440" w:hanging="1440"/>
        <w:rPr>
          <w:b/>
        </w:rPr>
      </w:pPr>
      <w:bookmarkStart w:id="13" w:name="OLE_LINK3"/>
      <w:r>
        <w:rPr>
          <w:b/>
        </w:rPr>
        <w:t xml:space="preserve">Proposal </w:t>
      </w:r>
      <w:r w:rsidR="00186BFE">
        <w:rPr>
          <w:b/>
        </w:rPr>
        <w:t>3</w:t>
      </w:r>
      <w:r>
        <w:rPr>
          <w:b/>
        </w:rPr>
        <w:t>:</w:t>
      </w:r>
      <w:r>
        <w:rPr>
          <w:b/>
        </w:rPr>
        <w:tab/>
      </w:r>
      <w:r w:rsidR="00D74167">
        <w:rPr>
          <w:b/>
        </w:rPr>
        <w:t>U</w:t>
      </w:r>
      <w:r w:rsidR="00186BFE" w:rsidRPr="00186BFE">
        <w:rPr>
          <w:b/>
        </w:rPr>
        <w:t xml:space="preserve">sing a bitmap </w:t>
      </w:r>
      <w:r w:rsidR="00D74167">
        <w:rPr>
          <w:b/>
        </w:rPr>
        <w:t>to indicate the wake-up cell/cell groups in CA and NR/DC cases is beneficial for UE turning part of RF components off.</w:t>
      </w:r>
    </w:p>
    <w:bookmarkEnd w:id="12"/>
    <w:p w14:paraId="0B88E784" w14:textId="77777777" w:rsidR="00D74167" w:rsidRDefault="00D74167">
      <w:pPr>
        <w:ind w:left="1440" w:hanging="1440"/>
      </w:pPr>
    </w:p>
    <w:bookmarkEnd w:id="10"/>
    <w:bookmarkEnd w:id="11"/>
    <w:bookmarkEnd w:id="13"/>
    <w:p w14:paraId="1126154A" w14:textId="77777777" w:rsidR="004029F2" w:rsidRDefault="000A68B0">
      <w:pPr>
        <w:pStyle w:val="Heading1"/>
      </w:pPr>
      <w:r>
        <w:t>Conclusion</w:t>
      </w:r>
    </w:p>
    <w:p w14:paraId="7D0B6E6D" w14:textId="06C54C23" w:rsidR="004029F2" w:rsidRDefault="000A68B0">
      <w:r>
        <w:t xml:space="preserve">In this contribution, we have the following </w:t>
      </w:r>
      <w:r w:rsidR="00186BFE">
        <w:t xml:space="preserve">observations and </w:t>
      </w:r>
      <w:r>
        <w:t>proposals:</w:t>
      </w:r>
    </w:p>
    <w:p w14:paraId="335F7039" w14:textId="77777777" w:rsidR="00D74167" w:rsidRDefault="00D74167" w:rsidP="00D74167">
      <w:pPr>
        <w:spacing w:beforeLines="50" w:before="120"/>
        <w:ind w:left="1440" w:hanging="1440"/>
        <w:rPr>
          <w:rFonts w:eastAsia="SimSun"/>
          <w:b/>
          <w:bCs/>
        </w:rPr>
      </w:pPr>
      <w:r>
        <w:rPr>
          <w:rFonts w:eastAsia="SimSun"/>
          <w:b/>
          <w:bCs/>
        </w:rPr>
        <w:t xml:space="preserve">Observation 1: </w:t>
      </w:r>
      <w:r>
        <w:rPr>
          <w:rFonts w:eastAsia="SimSun"/>
          <w:b/>
          <w:bCs/>
        </w:rPr>
        <w:tab/>
        <w:t>Option 1-1 is suitable for predictable, periodic traffic like VoIP, while Option 1-2 is designed for unpredictable or misaligned periodic traffic such as XR.</w:t>
      </w:r>
    </w:p>
    <w:p w14:paraId="6F60F9A5" w14:textId="77777777" w:rsidR="00D74167" w:rsidRDefault="00D74167" w:rsidP="00D74167">
      <w:pPr>
        <w:ind w:left="1440" w:hanging="1440"/>
        <w:rPr>
          <w:b/>
        </w:rPr>
      </w:pPr>
      <w:r>
        <w:rPr>
          <w:b/>
        </w:rPr>
        <w:t>Proposal 1:</w:t>
      </w:r>
      <w:r>
        <w:rPr>
          <w:b/>
        </w:rPr>
        <w:tab/>
        <w:t>Support UE can be only configured either Option 1-1or Option 1-2 for PDCCH monitoring in RRC CONNECTED mode to accommodate different traffic types.</w:t>
      </w:r>
    </w:p>
    <w:p w14:paraId="74DE3EBF" w14:textId="77777777" w:rsidR="00D74167" w:rsidRDefault="00D74167" w:rsidP="00D74167">
      <w:pPr>
        <w:ind w:left="1440" w:hanging="1440"/>
        <w:rPr>
          <w:rFonts w:eastAsia="SimSun"/>
          <w:b/>
          <w:bCs/>
        </w:rPr>
      </w:pPr>
      <w:r>
        <w:rPr>
          <w:rFonts w:eastAsia="SimSun"/>
          <w:b/>
          <w:bCs/>
        </w:rPr>
        <w:t xml:space="preserve">Observation 2: </w:t>
      </w:r>
      <w:r>
        <w:rPr>
          <w:rFonts w:eastAsia="SimSun"/>
          <w:b/>
          <w:bCs/>
        </w:rPr>
        <w:tab/>
        <w:t>Reporting one value per SCS is the same as the design of R16 DCI format 2-6.</w:t>
      </w:r>
    </w:p>
    <w:p w14:paraId="0D1A1EED" w14:textId="77777777" w:rsidR="00D74167" w:rsidRDefault="00D74167" w:rsidP="00D74167">
      <w:pPr>
        <w:ind w:left="1440" w:hanging="1440"/>
        <w:rPr>
          <w:rFonts w:eastAsia="SimSun"/>
        </w:rPr>
      </w:pPr>
      <w:r>
        <w:rPr>
          <w:b/>
          <w:bCs/>
        </w:rPr>
        <w:t xml:space="preserve">Proposal 2: </w:t>
      </w:r>
      <w:r>
        <w:rPr>
          <w:b/>
          <w:bCs/>
        </w:rPr>
        <w:tab/>
        <w:t>For the reporting value, consider reusing the minimum time gap values of DCI format 2-6 from 38.213 Table 10.3-1.</w:t>
      </w:r>
    </w:p>
    <w:p w14:paraId="35AC64FB" w14:textId="77777777" w:rsidR="00D74167" w:rsidRDefault="00D74167" w:rsidP="00D74167">
      <w:pPr>
        <w:spacing w:beforeLines="50" w:before="120"/>
        <w:ind w:left="1440" w:hanging="1440"/>
        <w:rPr>
          <w:rFonts w:eastAsia="SimSun"/>
        </w:rPr>
      </w:pPr>
      <w:r>
        <w:rPr>
          <w:rFonts w:eastAsia="SimSun"/>
          <w:b/>
          <w:bCs/>
        </w:rPr>
        <w:t xml:space="preserve">Observation 3: </w:t>
      </w:r>
      <w:r>
        <w:rPr>
          <w:rFonts w:eastAsia="SimSun"/>
          <w:b/>
          <w:bCs/>
        </w:rPr>
        <w:tab/>
        <w:t>Support of CA and NR/DC can provide power saving benefits for UE to turn part of RF components off</w:t>
      </w:r>
      <w:r>
        <w:rPr>
          <w:rFonts w:eastAsia="SimSun"/>
        </w:rPr>
        <w:t>.</w:t>
      </w:r>
    </w:p>
    <w:p w14:paraId="31AAC2DB" w14:textId="77777777" w:rsidR="00D74167" w:rsidRDefault="00D74167" w:rsidP="00D74167">
      <w:pPr>
        <w:ind w:left="1440" w:hanging="1440"/>
        <w:rPr>
          <w:b/>
        </w:rPr>
      </w:pPr>
      <w:r>
        <w:rPr>
          <w:b/>
        </w:rPr>
        <w:t>Proposal 3:</w:t>
      </w:r>
      <w:r>
        <w:rPr>
          <w:b/>
        </w:rPr>
        <w:tab/>
        <w:t>Using a bitmap to indicate the wake-up cell/cell groups in CA and NR/DC cases is beneficial for UE turning part of RF components off.</w:t>
      </w:r>
    </w:p>
    <w:p w14:paraId="54BF728E" w14:textId="2E093C6A" w:rsidR="00186BFE" w:rsidRDefault="00186BFE" w:rsidP="00D74167">
      <w:pPr>
        <w:ind w:left="1440" w:hanging="1440"/>
      </w:pPr>
    </w:p>
    <w:sectPr w:rsidR="00186BF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0FAFB" w14:textId="77777777" w:rsidR="00E729B3" w:rsidRDefault="00E729B3" w:rsidP="007E2C8B">
      <w:pPr>
        <w:spacing w:after="0"/>
      </w:pPr>
      <w:r>
        <w:separator/>
      </w:r>
    </w:p>
  </w:endnote>
  <w:endnote w:type="continuationSeparator" w:id="0">
    <w:p w14:paraId="3873A46D" w14:textId="77777777" w:rsidR="00E729B3" w:rsidRDefault="00E729B3" w:rsidP="007E2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F76E" w14:textId="77777777" w:rsidR="00E729B3" w:rsidRDefault="00E729B3" w:rsidP="007E2C8B">
      <w:pPr>
        <w:spacing w:after="0"/>
      </w:pPr>
      <w:r>
        <w:separator/>
      </w:r>
    </w:p>
  </w:footnote>
  <w:footnote w:type="continuationSeparator" w:id="0">
    <w:p w14:paraId="0FA2F090" w14:textId="77777777" w:rsidR="00E729B3" w:rsidRDefault="00E729B3" w:rsidP="007E2C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CDC03AE"/>
    <w:multiLevelType w:val="multilevel"/>
    <w:tmpl w:val="910E4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B1003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12847BC4"/>
    <w:multiLevelType w:val="multilevel"/>
    <w:tmpl w:val="ABDA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6A420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B8452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2668146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2FD77F27"/>
    <w:multiLevelType w:val="multilevel"/>
    <w:tmpl w:val="8898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6E5185"/>
    <w:multiLevelType w:val="hybridMultilevel"/>
    <w:tmpl w:val="AE9C3936"/>
    <w:lvl w:ilvl="0" w:tplc="39DACBA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3E946E5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9" w15:restartNumberingAfterBreak="0">
    <w:nsid w:val="433E6CD7"/>
    <w:multiLevelType w:val="multilevel"/>
    <w:tmpl w:val="9DAC7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FA202A"/>
    <w:multiLevelType w:val="multilevel"/>
    <w:tmpl w:val="531A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02A82"/>
    <w:multiLevelType w:val="multilevel"/>
    <w:tmpl w:val="D976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8F010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5727457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5943356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43022C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7A222EF6"/>
    <w:multiLevelType w:val="multilevel"/>
    <w:tmpl w:val="A036C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2"/>
  </w:num>
  <w:num w:numId="9" w16cid:durableId="1817070985">
    <w:abstractNumId w:val="10"/>
  </w:num>
  <w:num w:numId="10" w16cid:durableId="1255940425">
    <w:abstractNumId w:val="17"/>
  </w:num>
  <w:num w:numId="11" w16cid:durableId="2083480124">
    <w:abstractNumId w:val="21"/>
  </w:num>
  <w:num w:numId="12" w16cid:durableId="1764958511">
    <w:abstractNumId w:val="9"/>
  </w:num>
  <w:num w:numId="13" w16cid:durableId="2015298711">
    <w:abstractNumId w:val="24"/>
  </w:num>
  <w:num w:numId="14" w16cid:durableId="16271723">
    <w:abstractNumId w:val="15"/>
  </w:num>
  <w:num w:numId="15" w16cid:durableId="524297051">
    <w:abstractNumId w:val="8"/>
  </w:num>
  <w:num w:numId="16" w16cid:durableId="2120030841">
    <w:abstractNumId w:val="27"/>
  </w:num>
  <w:num w:numId="17" w16cid:durableId="1535458982">
    <w:abstractNumId w:val="7"/>
  </w:num>
  <w:num w:numId="18" w16cid:durableId="1287782882">
    <w:abstractNumId w:val="25"/>
  </w:num>
  <w:num w:numId="19" w16cid:durableId="1031879139">
    <w:abstractNumId w:val="26"/>
  </w:num>
  <w:num w:numId="20" w16cid:durableId="1608730569">
    <w:abstractNumId w:val="22"/>
  </w:num>
  <w:num w:numId="21" w16cid:durableId="1465850242">
    <w:abstractNumId w:val="18"/>
  </w:num>
  <w:num w:numId="22" w16cid:durableId="676421778">
    <w:abstractNumId w:val="20"/>
  </w:num>
  <w:num w:numId="23" w16cid:durableId="192429030">
    <w:abstractNumId w:val="11"/>
  </w:num>
  <w:num w:numId="24" w16cid:durableId="2058972798">
    <w:abstractNumId w:val="14"/>
  </w:num>
  <w:num w:numId="25" w16cid:durableId="124324150">
    <w:abstractNumId w:val="16"/>
  </w:num>
  <w:num w:numId="26" w16cid:durableId="756246192">
    <w:abstractNumId w:val="19"/>
  </w:num>
  <w:num w:numId="27" w16cid:durableId="199901463">
    <w:abstractNumId w:val="23"/>
  </w:num>
  <w:num w:numId="28" w16cid:durableId="43243485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FYjNDI0sjEwMLYyUdpeDU4uLM/DyQAsNaANKEx7EsAAAA"/>
  </w:docVars>
  <w:rsids>
    <w:rsidRoot w:val="00086C2C"/>
    <w:rsid w:val="00034616"/>
    <w:rsid w:val="0006063C"/>
    <w:rsid w:val="00086C2C"/>
    <w:rsid w:val="000A68B0"/>
    <w:rsid w:val="001254E3"/>
    <w:rsid w:val="001276AC"/>
    <w:rsid w:val="0015074B"/>
    <w:rsid w:val="00186BFE"/>
    <w:rsid w:val="001B2AE3"/>
    <w:rsid w:val="0029639D"/>
    <w:rsid w:val="00326F90"/>
    <w:rsid w:val="004029F2"/>
    <w:rsid w:val="004E0634"/>
    <w:rsid w:val="005565B8"/>
    <w:rsid w:val="007B2CB0"/>
    <w:rsid w:val="007E2C8B"/>
    <w:rsid w:val="00994E64"/>
    <w:rsid w:val="00A6266F"/>
    <w:rsid w:val="00AA1D8D"/>
    <w:rsid w:val="00AF0569"/>
    <w:rsid w:val="00B47730"/>
    <w:rsid w:val="00B6578E"/>
    <w:rsid w:val="00CB0664"/>
    <w:rsid w:val="00D51437"/>
    <w:rsid w:val="00D74167"/>
    <w:rsid w:val="00E729B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3FAFC0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05434">
      <w:bodyDiv w:val="1"/>
      <w:marLeft w:val="0"/>
      <w:marRight w:val="0"/>
      <w:marTop w:val="0"/>
      <w:marBottom w:val="0"/>
      <w:divBdr>
        <w:top w:val="none" w:sz="0" w:space="0" w:color="auto"/>
        <w:left w:val="none" w:sz="0" w:space="0" w:color="auto"/>
        <w:bottom w:val="none" w:sz="0" w:space="0" w:color="auto"/>
        <w:right w:val="none" w:sz="0" w:space="0" w:color="auto"/>
      </w:divBdr>
    </w:div>
    <w:div w:id="143553351">
      <w:bodyDiv w:val="1"/>
      <w:marLeft w:val="0"/>
      <w:marRight w:val="0"/>
      <w:marTop w:val="0"/>
      <w:marBottom w:val="0"/>
      <w:divBdr>
        <w:top w:val="none" w:sz="0" w:space="0" w:color="auto"/>
        <w:left w:val="none" w:sz="0" w:space="0" w:color="auto"/>
        <w:bottom w:val="none" w:sz="0" w:space="0" w:color="auto"/>
        <w:right w:val="none" w:sz="0" w:space="0" w:color="auto"/>
      </w:divBdr>
    </w:div>
    <w:div w:id="861086480">
      <w:bodyDiv w:val="1"/>
      <w:marLeft w:val="0"/>
      <w:marRight w:val="0"/>
      <w:marTop w:val="0"/>
      <w:marBottom w:val="0"/>
      <w:divBdr>
        <w:top w:val="none" w:sz="0" w:space="0" w:color="auto"/>
        <w:left w:val="none" w:sz="0" w:space="0" w:color="auto"/>
        <w:bottom w:val="none" w:sz="0" w:space="0" w:color="auto"/>
        <w:right w:val="none" w:sz="0" w:space="0" w:color="auto"/>
      </w:divBdr>
    </w:div>
    <w:div w:id="904335008">
      <w:bodyDiv w:val="1"/>
      <w:marLeft w:val="0"/>
      <w:marRight w:val="0"/>
      <w:marTop w:val="0"/>
      <w:marBottom w:val="0"/>
      <w:divBdr>
        <w:top w:val="none" w:sz="0" w:space="0" w:color="auto"/>
        <w:left w:val="none" w:sz="0" w:space="0" w:color="auto"/>
        <w:bottom w:val="none" w:sz="0" w:space="0" w:color="auto"/>
        <w:right w:val="none" w:sz="0" w:space="0" w:color="auto"/>
      </w:divBdr>
    </w:div>
    <w:div w:id="942810500">
      <w:bodyDiv w:val="1"/>
      <w:marLeft w:val="0"/>
      <w:marRight w:val="0"/>
      <w:marTop w:val="0"/>
      <w:marBottom w:val="0"/>
      <w:divBdr>
        <w:top w:val="none" w:sz="0" w:space="0" w:color="auto"/>
        <w:left w:val="none" w:sz="0" w:space="0" w:color="auto"/>
        <w:bottom w:val="none" w:sz="0" w:space="0" w:color="auto"/>
        <w:right w:val="none" w:sz="0" w:space="0" w:color="auto"/>
      </w:divBdr>
    </w:div>
    <w:div w:id="998117749">
      <w:bodyDiv w:val="1"/>
      <w:marLeft w:val="0"/>
      <w:marRight w:val="0"/>
      <w:marTop w:val="0"/>
      <w:marBottom w:val="0"/>
      <w:divBdr>
        <w:top w:val="none" w:sz="0" w:space="0" w:color="auto"/>
        <w:left w:val="none" w:sz="0" w:space="0" w:color="auto"/>
        <w:bottom w:val="none" w:sz="0" w:space="0" w:color="auto"/>
        <w:right w:val="none" w:sz="0" w:space="0" w:color="auto"/>
      </w:divBdr>
    </w:div>
    <w:div w:id="999652325">
      <w:bodyDiv w:val="1"/>
      <w:marLeft w:val="0"/>
      <w:marRight w:val="0"/>
      <w:marTop w:val="0"/>
      <w:marBottom w:val="0"/>
      <w:divBdr>
        <w:top w:val="none" w:sz="0" w:space="0" w:color="auto"/>
        <w:left w:val="none" w:sz="0" w:space="0" w:color="auto"/>
        <w:bottom w:val="none" w:sz="0" w:space="0" w:color="auto"/>
        <w:right w:val="none" w:sz="0" w:space="0" w:color="auto"/>
      </w:divBdr>
    </w:div>
    <w:div w:id="1055592779">
      <w:bodyDiv w:val="1"/>
      <w:marLeft w:val="0"/>
      <w:marRight w:val="0"/>
      <w:marTop w:val="0"/>
      <w:marBottom w:val="0"/>
      <w:divBdr>
        <w:top w:val="none" w:sz="0" w:space="0" w:color="auto"/>
        <w:left w:val="none" w:sz="0" w:space="0" w:color="auto"/>
        <w:bottom w:val="none" w:sz="0" w:space="0" w:color="auto"/>
        <w:right w:val="none" w:sz="0" w:space="0" w:color="auto"/>
      </w:divBdr>
    </w:div>
    <w:div w:id="1318076072">
      <w:bodyDiv w:val="1"/>
      <w:marLeft w:val="0"/>
      <w:marRight w:val="0"/>
      <w:marTop w:val="0"/>
      <w:marBottom w:val="0"/>
      <w:divBdr>
        <w:top w:val="none" w:sz="0" w:space="0" w:color="auto"/>
        <w:left w:val="none" w:sz="0" w:space="0" w:color="auto"/>
        <w:bottom w:val="none" w:sz="0" w:space="0" w:color="auto"/>
        <w:right w:val="none" w:sz="0" w:space="0" w:color="auto"/>
      </w:divBdr>
    </w:div>
    <w:div w:id="1566060833">
      <w:bodyDiv w:val="1"/>
      <w:marLeft w:val="0"/>
      <w:marRight w:val="0"/>
      <w:marTop w:val="0"/>
      <w:marBottom w:val="0"/>
      <w:divBdr>
        <w:top w:val="none" w:sz="0" w:space="0" w:color="auto"/>
        <w:left w:val="none" w:sz="0" w:space="0" w:color="auto"/>
        <w:bottom w:val="none" w:sz="0" w:space="0" w:color="auto"/>
        <w:right w:val="none" w:sz="0" w:space="0" w:color="auto"/>
      </w:divBdr>
    </w:div>
    <w:div w:id="1586841677">
      <w:bodyDiv w:val="1"/>
      <w:marLeft w:val="0"/>
      <w:marRight w:val="0"/>
      <w:marTop w:val="0"/>
      <w:marBottom w:val="0"/>
      <w:divBdr>
        <w:top w:val="none" w:sz="0" w:space="0" w:color="auto"/>
        <w:left w:val="none" w:sz="0" w:space="0" w:color="auto"/>
        <w:bottom w:val="none" w:sz="0" w:space="0" w:color="auto"/>
        <w:right w:val="none" w:sz="0" w:space="0" w:color="auto"/>
      </w:divBdr>
    </w:div>
    <w:div w:id="1591963265">
      <w:bodyDiv w:val="1"/>
      <w:marLeft w:val="0"/>
      <w:marRight w:val="0"/>
      <w:marTop w:val="0"/>
      <w:marBottom w:val="0"/>
      <w:divBdr>
        <w:top w:val="none" w:sz="0" w:space="0" w:color="auto"/>
        <w:left w:val="none" w:sz="0" w:space="0" w:color="auto"/>
        <w:bottom w:val="none" w:sz="0" w:space="0" w:color="auto"/>
        <w:right w:val="none" w:sz="0" w:space="0" w:color="auto"/>
      </w:divBdr>
    </w:div>
    <w:div w:id="1622229477">
      <w:bodyDiv w:val="1"/>
      <w:marLeft w:val="0"/>
      <w:marRight w:val="0"/>
      <w:marTop w:val="0"/>
      <w:marBottom w:val="0"/>
      <w:divBdr>
        <w:top w:val="none" w:sz="0" w:space="0" w:color="auto"/>
        <w:left w:val="none" w:sz="0" w:space="0" w:color="auto"/>
        <w:bottom w:val="none" w:sz="0" w:space="0" w:color="auto"/>
        <w:right w:val="none" w:sz="0" w:space="0" w:color="auto"/>
      </w:divBdr>
    </w:div>
    <w:div w:id="1639340040">
      <w:bodyDiv w:val="1"/>
      <w:marLeft w:val="0"/>
      <w:marRight w:val="0"/>
      <w:marTop w:val="0"/>
      <w:marBottom w:val="0"/>
      <w:divBdr>
        <w:top w:val="none" w:sz="0" w:space="0" w:color="auto"/>
        <w:left w:val="none" w:sz="0" w:space="0" w:color="auto"/>
        <w:bottom w:val="none" w:sz="0" w:space="0" w:color="auto"/>
        <w:right w:val="none" w:sz="0" w:space="0" w:color="auto"/>
      </w:divBdr>
    </w:div>
    <w:div w:id="1747148419">
      <w:bodyDiv w:val="1"/>
      <w:marLeft w:val="0"/>
      <w:marRight w:val="0"/>
      <w:marTop w:val="0"/>
      <w:marBottom w:val="0"/>
      <w:divBdr>
        <w:top w:val="none" w:sz="0" w:space="0" w:color="auto"/>
        <w:left w:val="none" w:sz="0" w:space="0" w:color="auto"/>
        <w:bottom w:val="none" w:sz="0" w:space="0" w:color="auto"/>
        <w:right w:val="none" w:sz="0" w:space="0" w:color="auto"/>
      </w:divBdr>
    </w:div>
    <w:div w:id="1785148120">
      <w:bodyDiv w:val="1"/>
      <w:marLeft w:val="0"/>
      <w:marRight w:val="0"/>
      <w:marTop w:val="0"/>
      <w:marBottom w:val="0"/>
      <w:divBdr>
        <w:top w:val="none" w:sz="0" w:space="0" w:color="auto"/>
        <w:left w:val="none" w:sz="0" w:space="0" w:color="auto"/>
        <w:bottom w:val="none" w:sz="0" w:space="0" w:color="auto"/>
        <w:right w:val="none" w:sz="0" w:space="0" w:color="auto"/>
      </w:divBdr>
      <w:divsChild>
        <w:div w:id="1872566553">
          <w:marLeft w:val="0"/>
          <w:marRight w:val="0"/>
          <w:marTop w:val="0"/>
          <w:marBottom w:val="0"/>
          <w:divBdr>
            <w:top w:val="none" w:sz="0" w:space="0" w:color="auto"/>
            <w:left w:val="none" w:sz="0" w:space="0" w:color="auto"/>
            <w:bottom w:val="none" w:sz="0" w:space="0" w:color="auto"/>
            <w:right w:val="none" w:sz="0" w:space="0" w:color="auto"/>
          </w:divBdr>
        </w:div>
      </w:divsChild>
    </w:div>
    <w:div w:id="1796828532">
      <w:bodyDiv w:val="1"/>
      <w:marLeft w:val="0"/>
      <w:marRight w:val="0"/>
      <w:marTop w:val="0"/>
      <w:marBottom w:val="0"/>
      <w:divBdr>
        <w:top w:val="none" w:sz="0" w:space="0" w:color="auto"/>
        <w:left w:val="none" w:sz="0" w:space="0" w:color="auto"/>
        <w:bottom w:val="none" w:sz="0" w:space="0" w:color="auto"/>
        <w:right w:val="none" w:sz="0" w:space="0" w:color="auto"/>
      </w:divBdr>
    </w:div>
    <w:div w:id="19978757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tdoc.dotx</Template>
  <TotalTime>43</TotalTime>
  <Pages>3</Pages>
  <Words>749</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5009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13</cp:revision>
  <dcterms:created xsi:type="dcterms:W3CDTF">2024-02-15T01:18:00Z</dcterms:created>
  <dcterms:modified xsi:type="dcterms:W3CDTF">2024-11-08T11:29:00Z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